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1C57" w14:textId="3A4A4F3D" w:rsidR="00647183" w:rsidRDefault="00647183" w:rsidP="001659A8">
      <w:pPr>
        <w:spacing w:after="0" w:line="240" w:lineRule="auto"/>
        <w:rPr>
          <w:rFonts w:ascii="Arial" w:hAnsi="Arial" w:cs="Arial"/>
          <w:b/>
          <w:sz w:val="32"/>
          <w:szCs w:val="32"/>
        </w:rPr>
      </w:pPr>
      <w:r w:rsidRPr="004F0076">
        <w:rPr>
          <w:rFonts w:ascii="Arial" w:hAnsi="Arial" w:cs="Arial"/>
          <w:b/>
          <w:sz w:val="32"/>
          <w:szCs w:val="32"/>
        </w:rPr>
        <w:t>CoC Program Funding Availability Concepts</w:t>
      </w:r>
    </w:p>
    <w:p w14:paraId="060520CF" w14:textId="77777777" w:rsidR="001659A8" w:rsidRPr="001659A8" w:rsidRDefault="001659A8" w:rsidP="001659A8">
      <w:pPr>
        <w:spacing w:after="0" w:line="240" w:lineRule="auto"/>
        <w:rPr>
          <w:rFonts w:ascii="Arial" w:hAnsi="Arial" w:cs="Arial"/>
          <w:b/>
          <w:sz w:val="32"/>
          <w:szCs w:val="32"/>
        </w:rPr>
      </w:pPr>
    </w:p>
    <w:p w14:paraId="54D93EE0" w14:textId="4FE968AA" w:rsidR="00647183" w:rsidRPr="00C379CC" w:rsidRDefault="00647183">
      <w:pPr>
        <w:rPr>
          <w:rFonts w:ascii="Arial" w:hAnsi="Arial" w:cs="Arial"/>
          <w:sz w:val="23"/>
          <w:szCs w:val="23"/>
        </w:rPr>
      </w:pPr>
      <w:r w:rsidRPr="00C379CC">
        <w:rPr>
          <w:rFonts w:ascii="Arial" w:hAnsi="Arial" w:cs="Arial"/>
          <w:b/>
          <w:i/>
          <w:sz w:val="23"/>
          <w:szCs w:val="23"/>
        </w:rPr>
        <w:t xml:space="preserve">Preliminary Pro Rata Need (PPRN). </w:t>
      </w:r>
      <w:r w:rsidRPr="00C379CC">
        <w:rPr>
          <w:rFonts w:ascii="Arial" w:hAnsi="Arial" w:cs="Arial"/>
          <w:sz w:val="23"/>
          <w:szCs w:val="23"/>
        </w:rPr>
        <w:t>The amount of funds a CoC could receive based upon the geographic areas claimed by the CoC and reviewed by HUD during the CoC Program Registration process. To determine the amount of funding available for each geographic are</w:t>
      </w:r>
      <w:r w:rsidR="00727DCE" w:rsidRPr="00C379CC">
        <w:rPr>
          <w:rFonts w:ascii="Arial" w:hAnsi="Arial" w:cs="Arial"/>
          <w:sz w:val="23"/>
          <w:szCs w:val="23"/>
        </w:rPr>
        <w:t xml:space="preserve">a, HUD will use the formula described </w:t>
      </w:r>
      <w:r w:rsidR="00727DCE" w:rsidRPr="006D7779">
        <w:rPr>
          <w:rFonts w:ascii="Arial" w:hAnsi="Arial" w:cs="Arial"/>
          <w:sz w:val="23"/>
          <w:szCs w:val="23"/>
        </w:rPr>
        <w:t xml:space="preserve">in </w:t>
      </w:r>
      <w:r w:rsidR="006D7779" w:rsidRPr="006D7779">
        <w:rPr>
          <w:rFonts w:ascii="Arial" w:hAnsi="Arial" w:cs="Arial"/>
          <w:sz w:val="23"/>
          <w:szCs w:val="23"/>
        </w:rPr>
        <w:t xml:space="preserve">2023 </w:t>
      </w:r>
      <w:r w:rsidR="00727DCE" w:rsidRPr="006D7779">
        <w:rPr>
          <w:rFonts w:ascii="Arial" w:hAnsi="Arial" w:cs="Arial"/>
          <w:sz w:val="23"/>
          <w:szCs w:val="23"/>
        </w:rPr>
        <w:t>CoC Program Registration Notice.</w:t>
      </w:r>
      <w:r w:rsidRPr="00C379CC">
        <w:rPr>
          <w:rFonts w:ascii="Arial" w:hAnsi="Arial" w:cs="Arial"/>
          <w:sz w:val="23"/>
          <w:szCs w:val="23"/>
        </w:rPr>
        <w:t xml:space="preserve"> </w:t>
      </w:r>
    </w:p>
    <w:p w14:paraId="2D4DE839" w14:textId="77777777" w:rsidR="004F0076" w:rsidRPr="00C379CC" w:rsidRDefault="00647183" w:rsidP="004F0076">
      <w:pPr>
        <w:rPr>
          <w:rFonts w:ascii="Arial" w:hAnsi="Arial" w:cs="Arial"/>
          <w:sz w:val="23"/>
          <w:szCs w:val="23"/>
        </w:rPr>
      </w:pPr>
      <w:r w:rsidRPr="00C379CC">
        <w:rPr>
          <w:rFonts w:ascii="Arial" w:hAnsi="Arial" w:cs="Arial"/>
          <w:b/>
          <w:i/>
          <w:sz w:val="23"/>
          <w:szCs w:val="23"/>
        </w:rPr>
        <w:t>Annual Renewal Demand (ARD)</w:t>
      </w:r>
      <w:r w:rsidRPr="00C379CC">
        <w:rPr>
          <w:rFonts w:ascii="Arial" w:hAnsi="Arial" w:cs="Arial"/>
          <w:sz w:val="23"/>
          <w:szCs w:val="23"/>
        </w:rPr>
        <w:t xml:space="preserve"> </w:t>
      </w:r>
      <w:r w:rsidR="004F0076" w:rsidRPr="00C379CC">
        <w:rPr>
          <w:rFonts w:ascii="Arial" w:hAnsi="Arial" w:cs="Arial"/>
          <w:i/>
          <w:iCs/>
          <w:sz w:val="23"/>
          <w:szCs w:val="23"/>
        </w:rPr>
        <w:t xml:space="preserve">(24 CFR 578.17(b)(2)). </w:t>
      </w:r>
      <w:r w:rsidR="004F0076" w:rsidRPr="00C379CC">
        <w:rPr>
          <w:rFonts w:ascii="Arial" w:hAnsi="Arial" w:cs="Arial"/>
          <w:sz w:val="23"/>
          <w:szCs w:val="23"/>
        </w:rPr>
        <w:t>The total amount of all the CoC’s projects that will be eligible for renewal in the FY 202</w:t>
      </w:r>
      <w:r w:rsidR="00727DCE" w:rsidRPr="00C379CC">
        <w:rPr>
          <w:rFonts w:ascii="Arial" w:hAnsi="Arial" w:cs="Arial"/>
          <w:sz w:val="23"/>
          <w:szCs w:val="23"/>
        </w:rPr>
        <w:t>2</w:t>
      </w:r>
      <w:r w:rsidR="004F0076" w:rsidRPr="00C379CC">
        <w:rPr>
          <w:rFonts w:ascii="Arial" w:hAnsi="Arial" w:cs="Arial"/>
          <w:sz w:val="23"/>
          <w:szCs w:val="23"/>
        </w:rPr>
        <w:t xml:space="preserve"> CoC Program Competition, before any required adjustments to funding for leasing, rental assistance, and operating Budget Line Items (BLIs) based on FMR changes. The ARD will be calculated by combining the total amount of funds requested by eligible renewal projects from eligible: </w:t>
      </w:r>
    </w:p>
    <w:p w14:paraId="20D2AC2C" w14:textId="77777777" w:rsidR="004F0076" w:rsidRPr="00C379CC" w:rsidRDefault="004F0076" w:rsidP="004F0076">
      <w:pPr>
        <w:ind w:firstLine="720"/>
        <w:rPr>
          <w:rFonts w:ascii="Arial" w:hAnsi="Arial" w:cs="Arial"/>
          <w:sz w:val="23"/>
          <w:szCs w:val="23"/>
        </w:rPr>
      </w:pPr>
      <w:r w:rsidRPr="00C379CC">
        <w:rPr>
          <w:rFonts w:ascii="Arial" w:hAnsi="Arial" w:cs="Arial"/>
          <w:sz w:val="23"/>
          <w:szCs w:val="23"/>
        </w:rPr>
        <w:t xml:space="preserve">(1) renewal projects approved and ranked on the Renewal Project </w:t>
      </w:r>
      <w:proofErr w:type="gramStart"/>
      <w:r w:rsidRPr="00C379CC">
        <w:rPr>
          <w:rFonts w:ascii="Arial" w:hAnsi="Arial" w:cs="Arial"/>
          <w:sz w:val="23"/>
          <w:szCs w:val="23"/>
        </w:rPr>
        <w:t>Listing;</w:t>
      </w:r>
      <w:proofErr w:type="gramEnd"/>
      <w:r w:rsidRPr="00C379CC">
        <w:rPr>
          <w:rFonts w:ascii="Arial" w:hAnsi="Arial" w:cs="Arial"/>
          <w:sz w:val="23"/>
          <w:szCs w:val="23"/>
        </w:rPr>
        <w:t xml:space="preserve"> </w:t>
      </w:r>
    </w:p>
    <w:p w14:paraId="4D23E92D" w14:textId="77777777" w:rsidR="004F0076" w:rsidRPr="00C379CC" w:rsidRDefault="004F0076" w:rsidP="004F0076">
      <w:pPr>
        <w:ind w:left="1080" w:hanging="360"/>
        <w:rPr>
          <w:rFonts w:ascii="Arial" w:hAnsi="Arial" w:cs="Arial"/>
          <w:sz w:val="23"/>
          <w:szCs w:val="23"/>
        </w:rPr>
      </w:pPr>
      <w:r w:rsidRPr="00C379CC">
        <w:rPr>
          <w:rFonts w:ascii="Arial" w:hAnsi="Arial" w:cs="Arial"/>
          <w:sz w:val="23"/>
          <w:szCs w:val="23"/>
        </w:rPr>
        <w:t xml:space="preserve">(2) renewal project amount(s) that were reallocated as recorded on the reduced or eliminated reallocation forms of the CoC Priority </w:t>
      </w:r>
      <w:proofErr w:type="gramStart"/>
      <w:r w:rsidRPr="00C379CC">
        <w:rPr>
          <w:rFonts w:ascii="Arial" w:hAnsi="Arial" w:cs="Arial"/>
          <w:sz w:val="23"/>
          <w:szCs w:val="23"/>
        </w:rPr>
        <w:t>Listing;</w:t>
      </w:r>
      <w:proofErr w:type="gramEnd"/>
      <w:r w:rsidRPr="00C379CC">
        <w:rPr>
          <w:rFonts w:ascii="Arial" w:hAnsi="Arial" w:cs="Arial"/>
          <w:sz w:val="23"/>
          <w:szCs w:val="23"/>
        </w:rPr>
        <w:t xml:space="preserve"> </w:t>
      </w:r>
    </w:p>
    <w:p w14:paraId="75B55157" w14:textId="77777777" w:rsidR="004F0076" w:rsidRPr="00C379CC" w:rsidRDefault="004F0076" w:rsidP="004F0076">
      <w:pPr>
        <w:ind w:firstLine="720"/>
        <w:rPr>
          <w:rFonts w:ascii="Arial" w:hAnsi="Arial" w:cs="Arial"/>
          <w:sz w:val="23"/>
          <w:szCs w:val="23"/>
        </w:rPr>
      </w:pPr>
      <w:r w:rsidRPr="00C379CC">
        <w:rPr>
          <w:rFonts w:ascii="Arial" w:hAnsi="Arial" w:cs="Arial"/>
          <w:sz w:val="23"/>
          <w:szCs w:val="23"/>
        </w:rPr>
        <w:t xml:space="preserve">(3) renewal YHDP projects on the YHDP Renewal Project Listing; and </w:t>
      </w:r>
    </w:p>
    <w:p w14:paraId="47FE6952" w14:textId="77777777" w:rsidR="004F0076" w:rsidRPr="00C379CC" w:rsidRDefault="004F0076" w:rsidP="004F0076">
      <w:pPr>
        <w:ind w:left="1080" w:hanging="360"/>
        <w:rPr>
          <w:rFonts w:ascii="Arial" w:hAnsi="Arial" w:cs="Arial"/>
          <w:b/>
          <w:sz w:val="23"/>
          <w:szCs w:val="23"/>
        </w:rPr>
      </w:pPr>
      <w:r w:rsidRPr="00C379CC">
        <w:rPr>
          <w:rFonts w:ascii="Arial" w:hAnsi="Arial" w:cs="Arial"/>
          <w:sz w:val="23"/>
          <w:szCs w:val="23"/>
        </w:rPr>
        <w:t xml:space="preserve">(4) replacement YHDP projects on the YHDP Replacement Project Listing as these projects are eligible for funding as renewal YHDP projects but have chosen to submit the application as a YHDP replacement project with the amount of funding that is </w:t>
      </w:r>
      <w:r w:rsidR="00002059" w:rsidRPr="00C379CC">
        <w:rPr>
          <w:rFonts w:ascii="Arial" w:hAnsi="Arial" w:cs="Arial"/>
          <w:sz w:val="23"/>
          <w:szCs w:val="23"/>
        </w:rPr>
        <w:t>eligible</w:t>
      </w:r>
      <w:r w:rsidRPr="00C379CC">
        <w:rPr>
          <w:rFonts w:ascii="Arial" w:hAnsi="Arial" w:cs="Arial"/>
          <w:sz w:val="23"/>
          <w:szCs w:val="23"/>
        </w:rPr>
        <w:t xml:space="preserve"> for renewal.</w:t>
      </w:r>
    </w:p>
    <w:p w14:paraId="061B4C3A" w14:textId="77777777" w:rsidR="00647183" w:rsidRDefault="00647183">
      <w:pPr>
        <w:rPr>
          <w:rFonts w:ascii="Arial" w:hAnsi="Arial" w:cs="Arial"/>
          <w:sz w:val="23"/>
          <w:szCs w:val="23"/>
        </w:rPr>
      </w:pPr>
      <w:r w:rsidRPr="00C379CC">
        <w:rPr>
          <w:rFonts w:ascii="Arial" w:hAnsi="Arial" w:cs="Arial"/>
          <w:b/>
          <w:i/>
          <w:sz w:val="23"/>
          <w:szCs w:val="23"/>
        </w:rPr>
        <w:t>Final Pro Rata Need (FPRN).</w:t>
      </w:r>
      <w:r w:rsidRPr="00C379CC">
        <w:rPr>
          <w:rFonts w:ascii="Arial" w:hAnsi="Arial" w:cs="Arial"/>
          <w:sz w:val="23"/>
          <w:szCs w:val="23"/>
        </w:rPr>
        <w:t xml:space="preserve"> The higher of PPRN or ARD for the Continuum of Care is the FPRN, which is the base for the maximum award amount for the CoC.</w:t>
      </w:r>
    </w:p>
    <w:p w14:paraId="242CE9DE" w14:textId="2E83EE22" w:rsidR="00AF418C" w:rsidRDefault="00B460D5" w:rsidP="002376E9">
      <w:pPr>
        <w:autoSpaceDE w:val="0"/>
        <w:autoSpaceDN w:val="0"/>
        <w:adjustRightInd w:val="0"/>
        <w:spacing w:after="0" w:line="240" w:lineRule="auto"/>
        <w:rPr>
          <w:rFonts w:ascii="Times New Roman" w:hAnsi="Times New Roman" w:cs="Times New Roman"/>
          <w:sz w:val="24"/>
          <w:szCs w:val="24"/>
        </w:rPr>
      </w:pPr>
      <w:r w:rsidRPr="002376E9">
        <w:rPr>
          <w:rFonts w:ascii="Arial" w:hAnsi="Arial" w:cs="Arial"/>
          <w:b/>
          <w:bCs/>
          <w:sz w:val="23"/>
          <w:szCs w:val="23"/>
        </w:rPr>
        <w:t>Tier 1.</w:t>
      </w:r>
      <w:r>
        <w:rPr>
          <w:rFonts w:ascii="Arial" w:hAnsi="Arial" w:cs="Arial"/>
          <w:sz w:val="23"/>
          <w:szCs w:val="23"/>
        </w:rPr>
        <w:t xml:space="preserve"> </w:t>
      </w:r>
      <w:r w:rsidR="00133233" w:rsidRPr="00133233">
        <w:rPr>
          <w:rFonts w:ascii="Arial" w:hAnsi="Arial" w:cs="Arial"/>
          <w:sz w:val="23"/>
          <w:szCs w:val="23"/>
        </w:rPr>
        <w:t>Tier 1 is equal to 93 percent of the CoC’s Annual Renewal Demand (ARD)</w:t>
      </w:r>
      <w:r w:rsidR="00015B8E">
        <w:rPr>
          <w:rFonts w:ascii="Arial" w:hAnsi="Arial" w:cs="Arial"/>
          <w:sz w:val="23"/>
          <w:szCs w:val="23"/>
        </w:rPr>
        <w:t xml:space="preserve"> - </w:t>
      </w:r>
      <w:r w:rsidR="00015B8E">
        <w:rPr>
          <w:rFonts w:ascii="Times New Roman" w:hAnsi="Times New Roman" w:cs="Times New Roman"/>
          <w:sz w:val="24"/>
          <w:szCs w:val="24"/>
        </w:rPr>
        <w:t>the Annual Renewal Amounts (ARAs)</w:t>
      </w:r>
      <w:r w:rsidR="002376E9">
        <w:rPr>
          <w:rFonts w:ascii="Times New Roman" w:hAnsi="Times New Roman" w:cs="Times New Roman"/>
          <w:sz w:val="24"/>
          <w:szCs w:val="24"/>
        </w:rPr>
        <w:t xml:space="preserve"> </w:t>
      </w:r>
      <w:r w:rsidR="00015B8E">
        <w:rPr>
          <w:rFonts w:ascii="Times New Roman" w:hAnsi="Times New Roman" w:cs="Times New Roman"/>
          <w:sz w:val="24"/>
          <w:szCs w:val="24"/>
        </w:rPr>
        <w:t xml:space="preserve">of YHDP Renewal </w:t>
      </w:r>
      <w:r w:rsidR="002376E9">
        <w:rPr>
          <w:rFonts w:ascii="Times New Roman" w:hAnsi="Times New Roman" w:cs="Times New Roman"/>
          <w:sz w:val="24"/>
          <w:szCs w:val="24"/>
        </w:rPr>
        <w:t>projects.</w:t>
      </w:r>
    </w:p>
    <w:p w14:paraId="17192543" w14:textId="77777777" w:rsidR="002376E9" w:rsidRPr="002376E9" w:rsidRDefault="002376E9" w:rsidP="002376E9">
      <w:pPr>
        <w:autoSpaceDE w:val="0"/>
        <w:autoSpaceDN w:val="0"/>
        <w:adjustRightInd w:val="0"/>
        <w:spacing w:after="0" w:line="240" w:lineRule="auto"/>
        <w:rPr>
          <w:rFonts w:ascii="Times New Roman" w:hAnsi="Times New Roman" w:cs="Times New Roman"/>
          <w:sz w:val="24"/>
          <w:szCs w:val="24"/>
        </w:rPr>
      </w:pPr>
    </w:p>
    <w:p w14:paraId="604813F3" w14:textId="51431178" w:rsidR="00647183" w:rsidRPr="00C379CC" w:rsidRDefault="00647183">
      <w:pPr>
        <w:rPr>
          <w:rFonts w:ascii="Arial" w:hAnsi="Arial" w:cs="Arial"/>
          <w:sz w:val="23"/>
          <w:szCs w:val="23"/>
        </w:rPr>
      </w:pPr>
      <w:r w:rsidRPr="00C379CC">
        <w:rPr>
          <w:rFonts w:ascii="Arial" w:hAnsi="Arial" w:cs="Arial"/>
          <w:b/>
          <w:i/>
          <w:sz w:val="23"/>
          <w:szCs w:val="23"/>
        </w:rPr>
        <w:t>CoC Bonus Project.</w:t>
      </w:r>
      <w:r w:rsidRPr="00C379CC">
        <w:rPr>
          <w:rFonts w:ascii="Arial" w:hAnsi="Arial" w:cs="Arial"/>
          <w:sz w:val="23"/>
          <w:szCs w:val="23"/>
        </w:rPr>
        <w:t xml:space="preserve"> </w:t>
      </w:r>
      <w:r w:rsidR="004F0076" w:rsidRPr="00C379CC">
        <w:rPr>
          <w:rFonts w:ascii="Arial" w:hAnsi="Arial" w:cs="Arial"/>
          <w:sz w:val="23"/>
          <w:szCs w:val="23"/>
        </w:rPr>
        <w:t xml:space="preserve">Collaborative Applicants may include new project applications of up to </w:t>
      </w:r>
      <w:r w:rsidR="00D94308" w:rsidRPr="00C379CC">
        <w:rPr>
          <w:rFonts w:ascii="Arial" w:hAnsi="Arial" w:cs="Arial"/>
          <w:b/>
          <w:bCs/>
          <w:sz w:val="23"/>
          <w:szCs w:val="23"/>
        </w:rPr>
        <w:t>7</w:t>
      </w:r>
      <w:r w:rsidR="004F0076" w:rsidRPr="00C379CC">
        <w:rPr>
          <w:rFonts w:ascii="Arial" w:hAnsi="Arial" w:cs="Arial"/>
          <w:b/>
          <w:bCs/>
          <w:sz w:val="23"/>
          <w:szCs w:val="23"/>
        </w:rPr>
        <w:t xml:space="preserve"> percent</w:t>
      </w:r>
      <w:r w:rsidR="004F0076" w:rsidRPr="00C379CC">
        <w:rPr>
          <w:rFonts w:ascii="Arial" w:hAnsi="Arial" w:cs="Arial"/>
          <w:sz w:val="23"/>
          <w:szCs w:val="23"/>
        </w:rPr>
        <w:t xml:space="preserve"> of its CoC Final Pro Rata Need (FPRN). New projects created through the CoC Bonus must meet the project eligibility and project quality threshold requirements established by HUD in Sections V.C.</w:t>
      </w:r>
      <w:r w:rsidR="00727DCE" w:rsidRPr="00C379CC">
        <w:rPr>
          <w:rFonts w:ascii="Arial" w:hAnsi="Arial" w:cs="Arial"/>
          <w:sz w:val="23"/>
          <w:szCs w:val="23"/>
        </w:rPr>
        <w:t>4</w:t>
      </w:r>
      <w:r w:rsidR="004F0076" w:rsidRPr="00C379CC">
        <w:rPr>
          <w:rFonts w:ascii="Arial" w:hAnsi="Arial" w:cs="Arial"/>
          <w:sz w:val="23"/>
          <w:szCs w:val="23"/>
        </w:rPr>
        <w:t>.b and c of this NOFO. To be eligible to receive a CoC Bonus project, a Collaborative Applicant must demonstrate its CoC ranks projects based on how they improve system performance as outlined in Section VII.B.2.b of this NOFO.</w:t>
      </w:r>
    </w:p>
    <w:p w14:paraId="44B640F7" w14:textId="5DE60FDC" w:rsidR="002C4F62" w:rsidRPr="00C379CC" w:rsidRDefault="004C143F" w:rsidP="002C4F62">
      <w:pPr>
        <w:rPr>
          <w:rFonts w:ascii="Arial" w:hAnsi="Arial" w:cs="Arial"/>
          <w:sz w:val="23"/>
          <w:szCs w:val="23"/>
        </w:rPr>
      </w:pPr>
      <w:r w:rsidRPr="00C379CC">
        <w:rPr>
          <w:rFonts w:ascii="Arial" w:hAnsi="Arial" w:cs="Arial"/>
          <w:b/>
          <w:i/>
          <w:sz w:val="23"/>
          <w:szCs w:val="23"/>
        </w:rPr>
        <w:t>Planning Grant</w:t>
      </w:r>
      <w:r w:rsidR="00F84255" w:rsidRPr="00C379CC">
        <w:rPr>
          <w:rFonts w:ascii="Arial" w:hAnsi="Arial" w:cs="Arial"/>
          <w:b/>
          <w:i/>
          <w:sz w:val="23"/>
          <w:szCs w:val="23"/>
        </w:rPr>
        <w:t>.</w:t>
      </w:r>
      <w:r w:rsidR="00F84255" w:rsidRPr="00C379CC">
        <w:rPr>
          <w:rFonts w:ascii="Arial" w:hAnsi="Arial" w:cs="Arial"/>
          <w:sz w:val="23"/>
          <w:szCs w:val="23"/>
        </w:rPr>
        <w:t xml:space="preserve"> </w:t>
      </w:r>
      <w:r w:rsidR="00960E0B" w:rsidRPr="00C379CC">
        <w:rPr>
          <w:rFonts w:ascii="Arial" w:hAnsi="Arial" w:cs="Arial"/>
          <w:sz w:val="23"/>
          <w:szCs w:val="23"/>
        </w:rPr>
        <w:t>Assist with d</w:t>
      </w:r>
      <w:r w:rsidR="002C4F62" w:rsidRPr="00C379CC">
        <w:rPr>
          <w:rFonts w:ascii="Arial" w:hAnsi="Arial" w:cs="Arial"/>
          <w:sz w:val="23"/>
          <w:szCs w:val="23"/>
        </w:rPr>
        <w:t xml:space="preserve">eveloping a </w:t>
      </w:r>
      <w:r w:rsidR="00E61453" w:rsidRPr="00C379CC">
        <w:rPr>
          <w:rFonts w:ascii="Arial" w:hAnsi="Arial" w:cs="Arial"/>
          <w:sz w:val="23"/>
          <w:szCs w:val="23"/>
        </w:rPr>
        <w:t xml:space="preserve">Continuum of Care system through </w:t>
      </w:r>
      <w:r w:rsidR="00E70B83" w:rsidRPr="00C379CC">
        <w:rPr>
          <w:rFonts w:ascii="Arial" w:hAnsi="Arial" w:cs="Arial"/>
          <w:sz w:val="23"/>
          <w:szCs w:val="23"/>
        </w:rPr>
        <w:t xml:space="preserve">a </w:t>
      </w:r>
      <w:r w:rsidR="002C4F62" w:rsidRPr="00C379CC">
        <w:rPr>
          <w:rFonts w:ascii="Arial" w:hAnsi="Arial" w:cs="Arial"/>
          <w:sz w:val="23"/>
          <w:szCs w:val="23"/>
        </w:rPr>
        <w:t xml:space="preserve">communitywide </w:t>
      </w:r>
      <w:r w:rsidR="003973AF" w:rsidRPr="00C379CC">
        <w:rPr>
          <w:rFonts w:ascii="Arial" w:hAnsi="Arial" w:cs="Arial"/>
          <w:sz w:val="23"/>
          <w:szCs w:val="23"/>
        </w:rPr>
        <w:t>coordinated process</w:t>
      </w:r>
      <w:r w:rsidR="00533A5B" w:rsidRPr="00C379CC">
        <w:rPr>
          <w:rFonts w:ascii="Arial" w:hAnsi="Arial" w:cs="Arial"/>
          <w:sz w:val="23"/>
          <w:szCs w:val="23"/>
        </w:rPr>
        <w:t xml:space="preserve"> </w:t>
      </w:r>
      <w:r w:rsidR="00E70B83" w:rsidRPr="00C379CC">
        <w:rPr>
          <w:rFonts w:ascii="Arial" w:hAnsi="Arial" w:cs="Arial"/>
          <w:sz w:val="23"/>
          <w:szCs w:val="23"/>
        </w:rPr>
        <w:t xml:space="preserve">involving key stakeholders </w:t>
      </w:r>
      <w:r w:rsidR="00533A5B" w:rsidRPr="00C379CC">
        <w:rPr>
          <w:rFonts w:ascii="Arial" w:hAnsi="Arial" w:cs="Arial"/>
          <w:sz w:val="23"/>
          <w:szCs w:val="23"/>
        </w:rPr>
        <w:t>in the CoC’s geographic area</w:t>
      </w:r>
      <w:r w:rsidR="008E211E" w:rsidRPr="00C379CC">
        <w:rPr>
          <w:rFonts w:ascii="Arial" w:hAnsi="Arial" w:cs="Arial"/>
          <w:sz w:val="23"/>
          <w:szCs w:val="23"/>
        </w:rPr>
        <w:t xml:space="preserve">; </w:t>
      </w:r>
      <w:r w:rsidR="00E70B83" w:rsidRPr="00C379CC">
        <w:rPr>
          <w:rFonts w:ascii="Arial" w:hAnsi="Arial" w:cs="Arial"/>
          <w:sz w:val="23"/>
          <w:szCs w:val="23"/>
        </w:rPr>
        <w:t xml:space="preserve">evaluating </w:t>
      </w:r>
      <w:r w:rsidR="00B54E8B" w:rsidRPr="00C379CC">
        <w:rPr>
          <w:rFonts w:ascii="Arial" w:hAnsi="Arial" w:cs="Arial"/>
          <w:sz w:val="23"/>
          <w:szCs w:val="23"/>
        </w:rPr>
        <w:t>CoC and ESG project outcomes; participating in local consolidated plans</w:t>
      </w:r>
      <w:r w:rsidR="00E32ACF" w:rsidRPr="00C379CC">
        <w:rPr>
          <w:rFonts w:ascii="Arial" w:hAnsi="Arial" w:cs="Arial"/>
          <w:sz w:val="23"/>
          <w:szCs w:val="23"/>
        </w:rPr>
        <w:t xml:space="preserve">; and </w:t>
      </w:r>
      <w:r w:rsidR="009D2DB4" w:rsidRPr="00C379CC">
        <w:rPr>
          <w:rFonts w:ascii="Arial" w:hAnsi="Arial" w:cs="Arial"/>
          <w:sz w:val="23"/>
          <w:szCs w:val="23"/>
        </w:rPr>
        <w:t xml:space="preserve">coordinating the preparation and submission of </w:t>
      </w:r>
      <w:r w:rsidR="00E32ACF" w:rsidRPr="00C379CC">
        <w:rPr>
          <w:rFonts w:ascii="Arial" w:hAnsi="Arial" w:cs="Arial"/>
          <w:sz w:val="23"/>
          <w:szCs w:val="23"/>
        </w:rPr>
        <w:t xml:space="preserve">an application </w:t>
      </w:r>
      <w:r w:rsidR="009D2DB4" w:rsidRPr="00C379CC">
        <w:rPr>
          <w:rFonts w:ascii="Arial" w:hAnsi="Arial" w:cs="Arial"/>
          <w:sz w:val="23"/>
          <w:szCs w:val="23"/>
        </w:rPr>
        <w:t>to HUD on behalf of the CoC’s membership as well as conducting a sheltered and unsheltered point-in-time count and other data collection as required by HUD.</w:t>
      </w:r>
      <w:r w:rsidR="007A53DB" w:rsidRPr="00C379CC">
        <w:rPr>
          <w:rFonts w:ascii="Arial" w:hAnsi="Arial" w:cs="Arial"/>
          <w:sz w:val="23"/>
          <w:szCs w:val="23"/>
        </w:rPr>
        <w:t xml:space="preserve">  The amount of a planning grant </w:t>
      </w:r>
      <w:r w:rsidR="00BC52DD" w:rsidRPr="00C379CC">
        <w:rPr>
          <w:rFonts w:ascii="Arial" w:hAnsi="Arial" w:cs="Arial"/>
          <w:sz w:val="23"/>
          <w:szCs w:val="23"/>
        </w:rPr>
        <w:t xml:space="preserve">is equal to </w:t>
      </w:r>
      <w:r w:rsidR="00BC52DD" w:rsidRPr="00C379CC">
        <w:rPr>
          <w:rFonts w:ascii="Arial" w:hAnsi="Arial" w:cs="Arial"/>
          <w:b/>
          <w:bCs/>
          <w:sz w:val="23"/>
          <w:szCs w:val="23"/>
        </w:rPr>
        <w:t>5 percent</w:t>
      </w:r>
      <w:r w:rsidR="00BC52DD" w:rsidRPr="00C379CC">
        <w:rPr>
          <w:rFonts w:ascii="Arial" w:hAnsi="Arial" w:cs="Arial"/>
          <w:sz w:val="23"/>
          <w:szCs w:val="23"/>
        </w:rPr>
        <w:t xml:space="preserve"> of a CoC’s FPRN.</w:t>
      </w:r>
    </w:p>
    <w:tbl>
      <w:tblPr>
        <w:tblpPr w:leftFromText="180" w:rightFromText="180" w:vertAnchor="text" w:horzAnchor="margin" w:tblpXSpec="center" w:tblpY="132"/>
        <w:tblW w:w="11515" w:type="dxa"/>
        <w:tblLook w:val="04A0" w:firstRow="1" w:lastRow="0" w:firstColumn="1" w:lastColumn="0" w:noHBand="0" w:noVBand="1"/>
      </w:tblPr>
      <w:tblGrid>
        <w:gridCol w:w="3595"/>
        <w:gridCol w:w="1350"/>
        <w:gridCol w:w="1260"/>
        <w:gridCol w:w="1350"/>
        <w:gridCol w:w="1260"/>
        <w:gridCol w:w="1170"/>
        <w:gridCol w:w="1530"/>
      </w:tblGrid>
      <w:tr w:rsidR="00392A1C" w:rsidRPr="003B03E5" w14:paraId="4DC94EFC" w14:textId="77777777" w:rsidTr="00392A1C">
        <w:trPr>
          <w:trHeight w:val="288"/>
        </w:trPr>
        <w:tc>
          <w:tcPr>
            <w:tcW w:w="359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5A140A53" w14:textId="4F313F0C" w:rsidR="00AB1CC5" w:rsidRPr="003B03E5" w:rsidRDefault="00AB1CC5" w:rsidP="00AB1CC5">
            <w:pPr>
              <w:spacing w:line="240" w:lineRule="auto"/>
              <w:rPr>
                <w:rFonts w:ascii="Calibri" w:eastAsia="Times New Roman" w:hAnsi="Calibri" w:cs="Times New Roman"/>
                <w:b/>
                <w:bCs/>
                <w:color w:val="000000"/>
              </w:rPr>
            </w:pPr>
            <w:r w:rsidRPr="003B03E5">
              <w:rPr>
                <w:rFonts w:ascii="Calibri" w:eastAsia="Times New Roman" w:hAnsi="Calibri" w:cs="Times New Roman"/>
                <w:b/>
                <w:bCs/>
                <w:color w:val="000000"/>
              </w:rPr>
              <w:t>CoC Number and Name</w:t>
            </w:r>
            <w:r w:rsidR="001659A8">
              <w:rPr>
                <w:rStyle w:val="FootnoteReference"/>
                <w:rFonts w:ascii="Calibri" w:eastAsia="Times New Roman" w:hAnsi="Calibri" w:cs="Times New Roman"/>
                <w:b/>
                <w:bCs/>
                <w:color w:val="000000"/>
              </w:rPr>
              <w:footnoteReference w:id="1"/>
            </w:r>
          </w:p>
        </w:tc>
        <w:tc>
          <w:tcPr>
            <w:tcW w:w="1350" w:type="dxa"/>
            <w:tcBorders>
              <w:top w:val="single" w:sz="4" w:space="0" w:color="auto"/>
              <w:left w:val="nil"/>
              <w:bottom w:val="single" w:sz="4" w:space="0" w:color="auto"/>
              <w:right w:val="single" w:sz="4" w:space="0" w:color="auto"/>
            </w:tcBorders>
            <w:shd w:val="clear" w:color="000000" w:fill="A9D08E"/>
            <w:noWrap/>
            <w:vAlign w:val="bottom"/>
            <w:hideMark/>
          </w:tcPr>
          <w:p w14:paraId="4DDCFAD4" w14:textId="77777777" w:rsidR="00AB1CC5" w:rsidRPr="003B03E5" w:rsidRDefault="00AB1CC5" w:rsidP="00392A1C">
            <w:pPr>
              <w:spacing w:line="240" w:lineRule="auto"/>
              <w:jc w:val="center"/>
              <w:rPr>
                <w:rFonts w:ascii="Calibri" w:eastAsia="Times New Roman" w:hAnsi="Calibri" w:cs="Times New Roman"/>
                <w:b/>
                <w:bCs/>
                <w:color w:val="000000"/>
              </w:rPr>
            </w:pPr>
            <w:r w:rsidRPr="003B03E5">
              <w:rPr>
                <w:rFonts w:ascii="Calibri" w:eastAsia="Times New Roman" w:hAnsi="Calibri" w:cs="Times New Roman"/>
                <w:b/>
                <w:bCs/>
                <w:color w:val="000000"/>
              </w:rPr>
              <w:t>PPRN</w:t>
            </w:r>
          </w:p>
        </w:tc>
        <w:tc>
          <w:tcPr>
            <w:tcW w:w="1260" w:type="dxa"/>
            <w:tcBorders>
              <w:top w:val="single" w:sz="4" w:space="0" w:color="auto"/>
              <w:left w:val="nil"/>
              <w:bottom w:val="single" w:sz="4" w:space="0" w:color="auto"/>
              <w:right w:val="single" w:sz="4" w:space="0" w:color="auto"/>
            </w:tcBorders>
            <w:shd w:val="clear" w:color="000000" w:fill="A9D08E"/>
            <w:noWrap/>
            <w:vAlign w:val="bottom"/>
            <w:hideMark/>
          </w:tcPr>
          <w:p w14:paraId="318F7E58" w14:textId="77777777" w:rsidR="00AB1CC5" w:rsidRPr="003B03E5" w:rsidRDefault="00AB1CC5" w:rsidP="00392A1C">
            <w:pPr>
              <w:spacing w:line="240" w:lineRule="auto"/>
              <w:jc w:val="center"/>
              <w:rPr>
                <w:rFonts w:ascii="Calibri" w:eastAsia="Times New Roman" w:hAnsi="Calibri" w:cs="Times New Roman"/>
                <w:b/>
                <w:bCs/>
                <w:color w:val="000000"/>
              </w:rPr>
            </w:pPr>
            <w:r w:rsidRPr="003B03E5">
              <w:rPr>
                <w:rFonts w:ascii="Calibri" w:eastAsia="Times New Roman" w:hAnsi="Calibri" w:cs="Times New Roman"/>
                <w:b/>
                <w:bCs/>
                <w:color w:val="000000"/>
              </w:rPr>
              <w:t>Estimated ARD</w:t>
            </w:r>
          </w:p>
        </w:tc>
        <w:tc>
          <w:tcPr>
            <w:tcW w:w="1350" w:type="dxa"/>
            <w:tcBorders>
              <w:top w:val="single" w:sz="4" w:space="0" w:color="auto"/>
              <w:left w:val="nil"/>
              <w:bottom w:val="single" w:sz="4" w:space="0" w:color="auto"/>
              <w:right w:val="single" w:sz="4" w:space="0" w:color="auto"/>
            </w:tcBorders>
            <w:shd w:val="clear" w:color="000000" w:fill="A9D08E"/>
            <w:noWrap/>
            <w:vAlign w:val="bottom"/>
            <w:hideMark/>
          </w:tcPr>
          <w:p w14:paraId="68EEBBF3" w14:textId="77777777" w:rsidR="00AB1CC5" w:rsidRPr="003B03E5" w:rsidRDefault="00AB1CC5" w:rsidP="00392A1C">
            <w:pPr>
              <w:spacing w:line="240" w:lineRule="auto"/>
              <w:jc w:val="center"/>
              <w:rPr>
                <w:rFonts w:ascii="Calibri" w:eastAsia="Times New Roman" w:hAnsi="Calibri" w:cs="Times New Roman"/>
                <w:b/>
                <w:bCs/>
                <w:color w:val="000000"/>
              </w:rPr>
            </w:pPr>
            <w:r w:rsidRPr="003B03E5">
              <w:rPr>
                <w:rFonts w:ascii="Calibri" w:eastAsia="Times New Roman" w:hAnsi="Calibri" w:cs="Times New Roman"/>
                <w:b/>
                <w:bCs/>
                <w:color w:val="000000"/>
              </w:rPr>
              <w:t>Tier 1</w:t>
            </w:r>
          </w:p>
        </w:tc>
        <w:tc>
          <w:tcPr>
            <w:tcW w:w="1260" w:type="dxa"/>
            <w:tcBorders>
              <w:top w:val="single" w:sz="4" w:space="0" w:color="auto"/>
              <w:left w:val="nil"/>
              <w:bottom w:val="single" w:sz="4" w:space="0" w:color="auto"/>
              <w:right w:val="single" w:sz="4" w:space="0" w:color="auto"/>
            </w:tcBorders>
            <w:shd w:val="clear" w:color="000000" w:fill="A9D08E"/>
            <w:noWrap/>
            <w:vAlign w:val="bottom"/>
            <w:hideMark/>
          </w:tcPr>
          <w:p w14:paraId="29AD4C25" w14:textId="77777777" w:rsidR="00AB1CC5" w:rsidRPr="003B03E5" w:rsidRDefault="00AB1CC5" w:rsidP="00392A1C">
            <w:pPr>
              <w:spacing w:line="240" w:lineRule="auto"/>
              <w:jc w:val="center"/>
              <w:rPr>
                <w:rFonts w:ascii="Calibri" w:eastAsia="Times New Roman" w:hAnsi="Calibri" w:cs="Times New Roman"/>
                <w:b/>
                <w:bCs/>
                <w:color w:val="000000"/>
              </w:rPr>
            </w:pPr>
            <w:r w:rsidRPr="003B03E5">
              <w:rPr>
                <w:rFonts w:ascii="Calibri" w:eastAsia="Times New Roman" w:hAnsi="Calibri" w:cs="Times New Roman"/>
                <w:b/>
                <w:bCs/>
                <w:color w:val="000000"/>
              </w:rPr>
              <w:t>CoC Bonus</w:t>
            </w:r>
          </w:p>
        </w:tc>
        <w:tc>
          <w:tcPr>
            <w:tcW w:w="1170" w:type="dxa"/>
            <w:tcBorders>
              <w:top w:val="single" w:sz="4" w:space="0" w:color="auto"/>
              <w:left w:val="nil"/>
              <w:bottom w:val="single" w:sz="4" w:space="0" w:color="auto"/>
              <w:right w:val="single" w:sz="4" w:space="0" w:color="auto"/>
            </w:tcBorders>
            <w:shd w:val="clear" w:color="000000" w:fill="A9D08E"/>
            <w:noWrap/>
            <w:vAlign w:val="bottom"/>
            <w:hideMark/>
          </w:tcPr>
          <w:p w14:paraId="784EEC5F" w14:textId="77777777" w:rsidR="00AB1CC5" w:rsidRPr="003B03E5" w:rsidRDefault="00AB1CC5" w:rsidP="00392A1C">
            <w:pPr>
              <w:spacing w:line="240" w:lineRule="auto"/>
              <w:jc w:val="center"/>
              <w:rPr>
                <w:rFonts w:ascii="Calibri" w:eastAsia="Times New Roman" w:hAnsi="Calibri" w:cs="Times New Roman"/>
                <w:b/>
                <w:bCs/>
                <w:color w:val="000000"/>
              </w:rPr>
            </w:pPr>
            <w:r w:rsidRPr="003B03E5">
              <w:rPr>
                <w:rFonts w:ascii="Calibri" w:eastAsia="Times New Roman" w:hAnsi="Calibri" w:cs="Times New Roman"/>
                <w:b/>
                <w:bCs/>
                <w:color w:val="000000"/>
              </w:rPr>
              <w:t>DV Bonus</w:t>
            </w:r>
          </w:p>
        </w:tc>
        <w:tc>
          <w:tcPr>
            <w:tcW w:w="1530" w:type="dxa"/>
            <w:tcBorders>
              <w:top w:val="single" w:sz="4" w:space="0" w:color="auto"/>
              <w:left w:val="nil"/>
              <w:bottom w:val="single" w:sz="4" w:space="0" w:color="auto"/>
              <w:right w:val="single" w:sz="4" w:space="0" w:color="auto"/>
            </w:tcBorders>
            <w:shd w:val="clear" w:color="000000" w:fill="A9D08E"/>
            <w:noWrap/>
            <w:vAlign w:val="bottom"/>
            <w:hideMark/>
          </w:tcPr>
          <w:p w14:paraId="06CEFCEA" w14:textId="77777777" w:rsidR="00AB1CC5" w:rsidRPr="003B03E5" w:rsidRDefault="00AB1CC5" w:rsidP="00392A1C">
            <w:pPr>
              <w:spacing w:line="240" w:lineRule="auto"/>
              <w:jc w:val="center"/>
              <w:rPr>
                <w:rFonts w:ascii="Calibri" w:eastAsia="Times New Roman" w:hAnsi="Calibri" w:cs="Times New Roman"/>
                <w:b/>
                <w:bCs/>
                <w:color w:val="000000"/>
              </w:rPr>
            </w:pPr>
            <w:r w:rsidRPr="003B03E5">
              <w:rPr>
                <w:rFonts w:ascii="Calibri" w:eastAsia="Times New Roman" w:hAnsi="Calibri" w:cs="Times New Roman"/>
                <w:b/>
                <w:bCs/>
                <w:color w:val="000000"/>
              </w:rPr>
              <w:t>CoC Planning</w:t>
            </w:r>
          </w:p>
        </w:tc>
      </w:tr>
      <w:tr w:rsidR="00AB1CC5" w:rsidRPr="003B03E5" w14:paraId="4D690E74" w14:textId="77777777" w:rsidTr="00392A1C">
        <w:trPr>
          <w:trHeight w:val="288"/>
        </w:trPr>
        <w:tc>
          <w:tcPr>
            <w:tcW w:w="3595" w:type="dxa"/>
            <w:tcBorders>
              <w:top w:val="nil"/>
              <w:left w:val="single" w:sz="4" w:space="0" w:color="auto"/>
              <w:bottom w:val="single" w:sz="4" w:space="0" w:color="auto"/>
              <w:right w:val="single" w:sz="4" w:space="0" w:color="auto"/>
            </w:tcBorders>
            <w:shd w:val="clear" w:color="auto" w:fill="auto"/>
            <w:noWrap/>
            <w:vAlign w:val="bottom"/>
            <w:hideMark/>
          </w:tcPr>
          <w:p w14:paraId="3EE7F94E" w14:textId="77777777" w:rsidR="00AB1CC5" w:rsidRPr="003B03E5" w:rsidRDefault="00AB1CC5" w:rsidP="00AB1CC5">
            <w:pPr>
              <w:spacing w:line="240" w:lineRule="auto"/>
              <w:rPr>
                <w:rFonts w:ascii="Calibri" w:eastAsia="Times New Roman" w:hAnsi="Calibri" w:cs="Times New Roman"/>
                <w:color w:val="000000"/>
              </w:rPr>
            </w:pPr>
            <w:r w:rsidRPr="003B03E5">
              <w:rPr>
                <w:rFonts w:ascii="Calibri" w:eastAsia="Times New Roman" w:hAnsi="Calibri" w:cs="Times New Roman"/>
                <w:color w:val="000000"/>
              </w:rPr>
              <w:t>IA-502 - Des Moines/Polk County Co</w:t>
            </w:r>
            <w:r>
              <w:rPr>
                <w:rFonts w:ascii="Calibri" w:eastAsia="Times New Roman" w:hAnsi="Calibri" w:cs="Times New Roman"/>
                <w:color w:val="000000"/>
              </w:rPr>
              <w:t>C</w:t>
            </w:r>
          </w:p>
        </w:tc>
        <w:tc>
          <w:tcPr>
            <w:tcW w:w="1350" w:type="dxa"/>
            <w:tcBorders>
              <w:top w:val="nil"/>
              <w:left w:val="nil"/>
              <w:bottom w:val="single" w:sz="4" w:space="0" w:color="auto"/>
              <w:right w:val="single" w:sz="4" w:space="0" w:color="auto"/>
            </w:tcBorders>
            <w:shd w:val="clear" w:color="auto" w:fill="auto"/>
            <w:noWrap/>
            <w:vAlign w:val="bottom"/>
            <w:hideMark/>
          </w:tcPr>
          <w:p w14:paraId="6454046B" w14:textId="38321CE6" w:rsidR="00AB1CC5" w:rsidRPr="003B03E5" w:rsidRDefault="00A708FC" w:rsidP="00AB1CC5">
            <w:pPr>
              <w:spacing w:line="240" w:lineRule="auto"/>
              <w:rPr>
                <w:rFonts w:ascii="Calibri" w:eastAsia="Times New Roman" w:hAnsi="Calibri" w:cs="Times New Roman"/>
                <w:color w:val="000000"/>
              </w:rPr>
            </w:pPr>
            <w:r>
              <w:rPr>
                <w:rFonts w:ascii="Calibri" w:eastAsia="Times New Roman" w:hAnsi="Calibri" w:cs="Times New Roman"/>
                <w:color w:val="000000"/>
              </w:rPr>
              <w:t>$4,616,666</w:t>
            </w:r>
          </w:p>
        </w:tc>
        <w:tc>
          <w:tcPr>
            <w:tcW w:w="1260" w:type="dxa"/>
            <w:tcBorders>
              <w:top w:val="nil"/>
              <w:left w:val="nil"/>
              <w:bottom w:val="single" w:sz="4" w:space="0" w:color="auto"/>
              <w:right w:val="single" w:sz="4" w:space="0" w:color="auto"/>
            </w:tcBorders>
            <w:shd w:val="clear" w:color="auto" w:fill="auto"/>
            <w:noWrap/>
            <w:vAlign w:val="bottom"/>
            <w:hideMark/>
          </w:tcPr>
          <w:p w14:paraId="063A69F8" w14:textId="77777777" w:rsidR="00AB1CC5" w:rsidRPr="003B03E5" w:rsidRDefault="00AB1CC5" w:rsidP="00AB1CC5">
            <w:pPr>
              <w:spacing w:line="240" w:lineRule="auto"/>
              <w:rPr>
                <w:rFonts w:ascii="Calibri" w:eastAsia="Times New Roman" w:hAnsi="Calibri" w:cs="Times New Roman"/>
                <w:color w:val="000000"/>
              </w:rPr>
            </w:pPr>
            <w:r w:rsidRPr="00B436FF">
              <w:rPr>
                <w:rFonts w:ascii="Calibri" w:eastAsia="Times New Roman" w:hAnsi="Calibri" w:cs="Times New Roman"/>
                <w:color w:val="000000"/>
              </w:rPr>
              <w:t>$4,776,466</w:t>
            </w:r>
          </w:p>
        </w:tc>
        <w:tc>
          <w:tcPr>
            <w:tcW w:w="1350" w:type="dxa"/>
            <w:tcBorders>
              <w:top w:val="nil"/>
              <w:left w:val="nil"/>
              <w:bottom w:val="single" w:sz="4" w:space="0" w:color="auto"/>
              <w:right w:val="single" w:sz="4" w:space="0" w:color="auto"/>
            </w:tcBorders>
            <w:shd w:val="clear" w:color="auto" w:fill="auto"/>
            <w:noWrap/>
            <w:vAlign w:val="bottom"/>
            <w:hideMark/>
          </w:tcPr>
          <w:p w14:paraId="0A00148E" w14:textId="054A3628" w:rsidR="00AB1CC5" w:rsidRPr="003B03E5" w:rsidRDefault="00AB1CC5" w:rsidP="00AB1CC5">
            <w:pPr>
              <w:spacing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926B9">
              <w:rPr>
                <w:rFonts w:ascii="Calibri" w:eastAsia="Times New Roman" w:hAnsi="Calibri" w:cs="Times New Roman"/>
                <w:color w:val="000000"/>
              </w:rPr>
              <w:t>3,</w:t>
            </w:r>
            <w:r w:rsidR="00E102E1">
              <w:rPr>
                <w:rFonts w:ascii="Calibri" w:eastAsia="Times New Roman" w:hAnsi="Calibri" w:cs="Times New Roman"/>
                <w:color w:val="000000"/>
              </w:rPr>
              <w:t>587,604</w:t>
            </w:r>
          </w:p>
        </w:tc>
        <w:tc>
          <w:tcPr>
            <w:tcW w:w="1260" w:type="dxa"/>
            <w:tcBorders>
              <w:top w:val="nil"/>
              <w:left w:val="nil"/>
              <w:bottom w:val="single" w:sz="4" w:space="0" w:color="auto"/>
              <w:right w:val="single" w:sz="4" w:space="0" w:color="auto"/>
            </w:tcBorders>
            <w:shd w:val="clear" w:color="auto" w:fill="auto"/>
            <w:noWrap/>
            <w:vAlign w:val="bottom"/>
            <w:hideMark/>
          </w:tcPr>
          <w:p w14:paraId="40214DAC" w14:textId="7D877379" w:rsidR="00AB1CC5" w:rsidRPr="003B03E5" w:rsidRDefault="00AB1CC5" w:rsidP="00AB1CC5">
            <w:pPr>
              <w:spacing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935CC">
              <w:rPr>
                <w:rFonts w:ascii="Calibri" w:eastAsia="Times New Roman" w:hAnsi="Calibri" w:cs="Times New Roman"/>
                <w:color w:val="000000"/>
              </w:rPr>
              <w:t>334,35</w:t>
            </w:r>
            <w:r w:rsidR="00DB509E">
              <w:rPr>
                <w:rFonts w:ascii="Calibri" w:eastAsia="Times New Roman" w:hAnsi="Calibri" w:cs="Times New Roman"/>
                <w:color w:val="000000"/>
              </w:rPr>
              <w:t>3</w:t>
            </w:r>
            <w:r>
              <w:rPr>
                <w:rFonts w:ascii="Calibri" w:eastAsia="Times New Roman" w:hAnsi="Calibri" w:cs="Times New Roman"/>
                <w:color w:val="000000"/>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58ADA144" w14:textId="36D69B64" w:rsidR="00AB1CC5" w:rsidRPr="003B03E5" w:rsidRDefault="00AB1CC5" w:rsidP="00AB1CC5">
            <w:pPr>
              <w:spacing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2E23DE">
              <w:rPr>
                <w:rFonts w:ascii="Calibri" w:eastAsia="Times New Roman" w:hAnsi="Calibri" w:cs="Times New Roman"/>
                <w:color w:val="000000"/>
              </w:rPr>
              <w:t>4</w:t>
            </w:r>
            <w:r w:rsidR="001729E3">
              <w:rPr>
                <w:rFonts w:ascii="Calibri" w:eastAsia="Times New Roman" w:hAnsi="Calibri" w:cs="Times New Roman"/>
                <w:color w:val="000000"/>
              </w:rPr>
              <w:t>61,667</w:t>
            </w:r>
          </w:p>
        </w:tc>
        <w:tc>
          <w:tcPr>
            <w:tcW w:w="1530" w:type="dxa"/>
            <w:tcBorders>
              <w:top w:val="nil"/>
              <w:left w:val="nil"/>
              <w:bottom w:val="single" w:sz="4" w:space="0" w:color="auto"/>
              <w:right w:val="single" w:sz="4" w:space="0" w:color="auto"/>
            </w:tcBorders>
            <w:shd w:val="clear" w:color="auto" w:fill="auto"/>
            <w:noWrap/>
            <w:vAlign w:val="bottom"/>
            <w:hideMark/>
          </w:tcPr>
          <w:p w14:paraId="1810891E" w14:textId="5BC12E03" w:rsidR="00AB1CC5" w:rsidRPr="003B03E5" w:rsidRDefault="00AB1CC5" w:rsidP="00AB1CC5">
            <w:pPr>
              <w:spacing w:line="240" w:lineRule="auto"/>
              <w:rPr>
                <w:rFonts w:ascii="Calibri" w:eastAsia="Times New Roman" w:hAnsi="Calibri" w:cs="Times New Roman"/>
                <w:color w:val="000000"/>
              </w:rPr>
            </w:pPr>
            <w:r w:rsidRPr="003B03E5">
              <w:rPr>
                <w:rFonts w:ascii="Calibri" w:eastAsia="Times New Roman" w:hAnsi="Calibri" w:cs="Times New Roman"/>
                <w:color w:val="000000"/>
              </w:rPr>
              <w:t xml:space="preserve"> $ </w:t>
            </w:r>
            <w:r w:rsidR="00392A1C">
              <w:rPr>
                <w:rFonts w:ascii="Calibri" w:eastAsia="Times New Roman" w:hAnsi="Calibri" w:cs="Times New Roman"/>
                <w:color w:val="000000"/>
              </w:rPr>
              <w:t>23</w:t>
            </w:r>
            <w:r w:rsidR="00691032">
              <w:rPr>
                <w:rFonts w:ascii="Calibri" w:eastAsia="Times New Roman" w:hAnsi="Calibri" w:cs="Times New Roman"/>
                <w:color w:val="000000"/>
              </w:rPr>
              <w:t>8,823</w:t>
            </w:r>
            <w:r w:rsidRPr="00600160">
              <w:rPr>
                <w:rFonts w:ascii="Calibri" w:eastAsia="Times New Roman" w:hAnsi="Calibri" w:cs="Times New Roman"/>
                <w:color w:val="000000"/>
              </w:rPr>
              <w:t xml:space="preserve"> </w:t>
            </w:r>
            <w:r w:rsidRPr="003B03E5">
              <w:rPr>
                <w:rFonts w:ascii="Calibri" w:eastAsia="Times New Roman" w:hAnsi="Calibri" w:cs="Times New Roman"/>
                <w:color w:val="000000"/>
              </w:rPr>
              <w:t xml:space="preserve"> </w:t>
            </w:r>
          </w:p>
        </w:tc>
      </w:tr>
    </w:tbl>
    <w:p w14:paraId="468AC863" w14:textId="77777777" w:rsidR="00F84255" w:rsidRPr="004F0076" w:rsidRDefault="00F84255" w:rsidP="00793E95">
      <w:pPr>
        <w:rPr>
          <w:rFonts w:ascii="Arial" w:hAnsi="Arial" w:cs="Arial"/>
          <w:sz w:val="24"/>
          <w:szCs w:val="24"/>
        </w:rPr>
      </w:pPr>
    </w:p>
    <w:sectPr w:rsidR="00F84255" w:rsidRPr="004F0076" w:rsidSect="00070CA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70F3" w14:textId="77777777" w:rsidR="00AD0110" w:rsidRDefault="00AD0110" w:rsidP="00647183">
      <w:pPr>
        <w:spacing w:after="0" w:line="240" w:lineRule="auto"/>
      </w:pPr>
      <w:r>
        <w:separator/>
      </w:r>
    </w:p>
  </w:endnote>
  <w:endnote w:type="continuationSeparator" w:id="0">
    <w:p w14:paraId="101A2101" w14:textId="77777777" w:rsidR="00AD0110" w:rsidRDefault="00AD0110" w:rsidP="0064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4C2C" w14:textId="77777777" w:rsidR="00AD0110" w:rsidRDefault="00AD0110" w:rsidP="00647183">
      <w:pPr>
        <w:spacing w:after="0" w:line="240" w:lineRule="auto"/>
      </w:pPr>
      <w:r>
        <w:separator/>
      </w:r>
    </w:p>
  </w:footnote>
  <w:footnote w:type="continuationSeparator" w:id="0">
    <w:p w14:paraId="2727639C" w14:textId="77777777" w:rsidR="00AD0110" w:rsidRDefault="00AD0110" w:rsidP="00647183">
      <w:pPr>
        <w:spacing w:after="0" w:line="240" w:lineRule="auto"/>
      </w:pPr>
      <w:r>
        <w:continuationSeparator/>
      </w:r>
    </w:p>
  </w:footnote>
  <w:footnote w:id="1">
    <w:p w14:paraId="2F4C9EB4" w14:textId="71AD5790" w:rsidR="001659A8" w:rsidRPr="0013480B" w:rsidRDefault="001659A8">
      <w:pPr>
        <w:pStyle w:val="FootnoteText"/>
        <w:rPr>
          <w:sz w:val="18"/>
          <w:szCs w:val="18"/>
        </w:rPr>
      </w:pPr>
      <w:r w:rsidRPr="0013480B">
        <w:rPr>
          <w:rStyle w:val="FootnoteReference"/>
          <w:sz w:val="18"/>
          <w:szCs w:val="18"/>
        </w:rPr>
        <w:footnoteRef/>
      </w:r>
      <w:r w:rsidRPr="0013480B">
        <w:rPr>
          <w:sz w:val="18"/>
          <w:szCs w:val="18"/>
        </w:rPr>
        <w:t xml:space="preserve"> </w:t>
      </w:r>
      <w:r w:rsidR="00F50571" w:rsidRPr="0013480B">
        <w:rPr>
          <w:sz w:val="18"/>
          <w:szCs w:val="18"/>
        </w:rPr>
        <w:t>The amounts in this table are only estimates</w:t>
      </w:r>
      <w:r w:rsidR="0013480B" w:rsidRPr="0013480B">
        <w:rPr>
          <w:sz w:val="18"/>
          <w:szCs w:val="18"/>
        </w:rPr>
        <w:t xml:space="preserve">.  Actual amounts will be published </w:t>
      </w:r>
      <w:proofErr w:type="gramStart"/>
      <w:r w:rsidR="006D7779">
        <w:rPr>
          <w:sz w:val="18"/>
          <w:szCs w:val="18"/>
        </w:rPr>
        <w:t>at a later date</w:t>
      </w:r>
      <w:proofErr w:type="gramEnd"/>
      <w:r w:rsidR="006D7779">
        <w:rPr>
          <w:sz w:val="18"/>
          <w:szCs w:val="18"/>
        </w:rPr>
        <w:t xml:space="preserve"> </w:t>
      </w:r>
      <w:r w:rsidR="0013480B" w:rsidRPr="0013480B">
        <w:rPr>
          <w:sz w:val="18"/>
          <w:szCs w:val="18"/>
        </w:rPr>
        <w:t>by HUD.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83"/>
    <w:rsid w:val="00002059"/>
    <w:rsid w:val="00015B8E"/>
    <w:rsid w:val="00070CAE"/>
    <w:rsid w:val="00133233"/>
    <w:rsid w:val="0013480B"/>
    <w:rsid w:val="00155B3B"/>
    <w:rsid w:val="001659A8"/>
    <w:rsid w:val="001729E3"/>
    <w:rsid w:val="001926B9"/>
    <w:rsid w:val="001935CC"/>
    <w:rsid w:val="001B227F"/>
    <w:rsid w:val="002376E9"/>
    <w:rsid w:val="00257B1D"/>
    <w:rsid w:val="002A3E12"/>
    <w:rsid w:val="002C4F62"/>
    <w:rsid w:val="002E23DE"/>
    <w:rsid w:val="00301C8C"/>
    <w:rsid w:val="00392A1C"/>
    <w:rsid w:val="003973AF"/>
    <w:rsid w:val="00495155"/>
    <w:rsid w:val="004A0F00"/>
    <w:rsid w:val="004C143F"/>
    <w:rsid w:val="004F0076"/>
    <w:rsid w:val="00533A5B"/>
    <w:rsid w:val="00537491"/>
    <w:rsid w:val="00647183"/>
    <w:rsid w:val="00650C7A"/>
    <w:rsid w:val="00691032"/>
    <w:rsid w:val="006D7779"/>
    <w:rsid w:val="00727DCE"/>
    <w:rsid w:val="00793E95"/>
    <w:rsid w:val="007A53DB"/>
    <w:rsid w:val="008A6D3F"/>
    <w:rsid w:val="008E211E"/>
    <w:rsid w:val="00960E0B"/>
    <w:rsid w:val="009D2DB4"/>
    <w:rsid w:val="009E2F43"/>
    <w:rsid w:val="009E3A4D"/>
    <w:rsid w:val="00A16EE5"/>
    <w:rsid w:val="00A708FC"/>
    <w:rsid w:val="00AB1CC5"/>
    <w:rsid w:val="00AD0110"/>
    <w:rsid w:val="00AF418C"/>
    <w:rsid w:val="00B460D5"/>
    <w:rsid w:val="00B54E8B"/>
    <w:rsid w:val="00BC52DD"/>
    <w:rsid w:val="00C379CC"/>
    <w:rsid w:val="00D9141C"/>
    <w:rsid w:val="00D94308"/>
    <w:rsid w:val="00DB509E"/>
    <w:rsid w:val="00DC56AA"/>
    <w:rsid w:val="00E102E1"/>
    <w:rsid w:val="00E32ACF"/>
    <w:rsid w:val="00E572F6"/>
    <w:rsid w:val="00E61453"/>
    <w:rsid w:val="00E70B83"/>
    <w:rsid w:val="00EC1441"/>
    <w:rsid w:val="00EF165B"/>
    <w:rsid w:val="00F50571"/>
    <w:rsid w:val="00F84255"/>
    <w:rsid w:val="00FC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0432"/>
  <w15:chartTrackingRefBased/>
  <w15:docId w15:val="{838790C6-D900-4340-B2DA-7CD5A7F7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7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183"/>
    <w:rPr>
      <w:sz w:val="20"/>
      <w:szCs w:val="20"/>
    </w:rPr>
  </w:style>
  <w:style w:type="character" w:styleId="FootnoteReference">
    <w:name w:val="footnote reference"/>
    <w:basedOn w:val="DefaultParagraphFont"/>
    <w:uiPriority w:val="99"/>
    <w:semiHidden/>
    <w:unhideWhenUsed/>
    <w:rsid w:val="00647183"/>
    <w:rPr>
      <w:vertAlign w:val="superscript"/>
    </w:rPr>
  </w:style>
  <w:style w:type="character" w:styleId="Hyperlink">
    <w:name w:val="Hyperlink"/>
    <w:basedOn w:val="DefaultParagraphFont"/>
    <w:uiPriority w:val="99"/>
    <w:unhideWhenUsed/>
    <w:rsid w:val="00647183"/>
    <w:rPr>
      <w:color w:val="0563C1" w:themeColor="hyperlink"/>
      <w:u w:val="single"/>
    </w:rPr>
  </w:style>
  <w:style w:type="paragraph" w:customStyle="1" w:styleId="Default">
    <w:name w:val="Default"/>
    <w:rsid w:val="004F0076"/>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020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CA16F37001E47A2A031FB934D55B6" ma:contentTypeVersion="14" ma:contentTypeDescription="Create a new document." ma:contentTypeScope="" ma:versionID="622ffcc15ca0f35cce914d7e0bdc4427">
  <xsd:schema xmlns:xsd="http://www.w3.org/2001/XMLSchema" xmlns:xs="http://www.w3.org/2001/XMLSchema" xmlns:p="http://schemas.microsoft.com/office/2006/metadata/properties" xmlns:ns2="467f19b3-b892-4bb4-ab54-3958cdbb74d9" xmlns:ns3="81a145f1-2186-4405-affc-a45b19c69479" targetNamespace="http://schemas.microsoft.com/office/2006/metadata/properties" ma:root="true" ma:fieldsID="ca505a911791a102f464426b77207bb5" ns2:_="" ns3:_="">
    <xsd:import namespace="467f19b3-b892-4bb4-ab54-3958cdbb74d9"/>
    <xsd:import namespace="81a145f1-2186-4405-affc-a45b19c694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f19b3-b892-4bb4-ab54-3958cdbb7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bf7ab7f-8a43-4d3a-9650-cb23908fa23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145f1-2186-4405-affc-a45b19c694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af30951-9ed2-45eb-b42f-7e76ce528fa2}" ma:internalName="TaxCatchAll" ma:showField="CatchAllData" ma:web="81a145f1-2186-4405-affc-a45b19c6947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7f19b3-b892-4bb4-ab54-3958cdbb74d9">
      <Terms xmlns="http://schemas.microsoft.com/office/infopath/2007/PartnerControls"/>
    </lcf76f155ced4ddcb4097134ff3c332f>
    <TaxCatchAll xmlns="81a145f1-2186-4405-affc-a45b19c694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3CFDE-AA5D-4B46-9A26-0020AE9C4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f19b3-b892-4bb4-ab54-3958cdbb74d9"/>
    <ds:schemaRef ds:uri="81a145f1-2186-4405-affc-a45b19c69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B3FA1-2C70-40D2-9CD8-4F55A3B3B2E3}">
  <ds:schemaRefs>
    <ds:schemaRef ds:uri="http://schemas.openxmlformats.org/officeDocument/2006/bibliography"/>
  </ds:schemaRefs>
</ds:datastoreItem>
</file>

<file path=customXml/itemProps3.xml><?xml version="1.0" encoding="utf-8"?>
<ds:datastoreItem xmlns:ds="http://schemas.openxmlformats.org/officeDocument/2006/customXml" ds:itemID="{E7220B7B-269C-4A60-9D8A-0CFFD6BA13A2}">
  <ds:schemaRefs>
    <ds:schemaRef ds:uri="http://schemas.microsoft.com/office/2006/metadata/properties"/>
    <ds:schemaRef ds:uri="http://schemas.microsoft.com/office/infopath/2007/PartnerControls"/>
    <ds:schemaRef ds:uri="467f19b3-b892-4bb4-ab54-3958cdbb74d9"/>
    <ds:schemaRef ds:uri="81a145f1-2186-4405-affc-a45b19c69479"/>
  </ds:schemaRefs>
</ds:datastoreItem>
</file>

<file path=customXml/itemProps4.xml><?xml version="1.0" encoding="utf-8"?>
<ds:datastoreItem xmlns:ds="http://schemas.openxmlformats.org/officeDocument/2006/customXml" ds:itemID="{57D84ABA-C303-4156-8638-2F37C76BD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Cain</dc:creator>
  <cp:keywords/>
  <dc:description/>
  <cp:lastModifiedBy>Jim Cain</cp:lastModifiedBy>
  <cp:revision>54</cp:revision>
  <dcterms:created xsi:type="dcterms:W3CDTF">2023-07-21T00:41:00Z</dcterms:created>
  <dcterms:modified xsi:type="dcterms:W3CDTF">2023-08-12T00:27:00Z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0x0101001C2CA16F37001E47A2A031FB934D55B6</vt:lpwstr>
  </property>
  <property fmtid="{D5CDD505-2E9C-101B-9397-08002B2CF9AE}" pid="3" name="MediaServiceImageTags">
    <vt:lpwstr/>
  </property>
</Properties>
</file>